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25DC" w14:textId="77777777" w:rsidR="00A06947" w:rsidRDefault="00000000">
      <w:pPr>
        <w:pStyle w:val="a7"/>
      </w:pPr>
      <w:r>
        <w:t>江苏海晨</w:t>
      </w:r>
      <w:r>
        <w:rPr>
          <w:rFonts w:hint="eastAsia"/>
        </w:rPr>
        <w:t>物流股份有限公司</w:t>
      </w:r>
    </w:p>
    <w:p w14:paraId="34E84529" w14:textId="77777777" w:rsidR="00A06947" w:rsidRDefault="00000000">
      <w:pPr>
        <w:pStyle w:val="a7"/>
      </w:pPr>
      <w:r>
        <w:rPr>
          <w:rFonts w:hint="eastAsia"/>
        </w:rPr>
        <w:t>2023</w:t>
      </w:r>
      <w:r>
        <w:rPr>
          <w:rFonts w:hint="eastAsia"/>
        </w:rPr>
        <w:t>年度财务决算报告</w:t>
      </w:r>
    </w:p>
    <w:p w14:paraId="4DB2005F" w14:textId="77777777" w:rsidR="00A06947" w:rsidRDefault="000000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江苏海晨物流股份有限公司（以下简称“公司”）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年度财务报表已经众华会计师事务所（特殊普通合伙）审计，并出具了标准无保留意见的审计报告。现将公司财务决算情况报告如下：</w:t>
      </w:r>
    </w:p>
    <w:p w14:paraId="40C52B7B" w14:textId="77777777" w:rsidR="00A06947" w:rsidRDefault="00000000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一、20</w:t>
      </w: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3年度公司主要财务数据：</w:t>
      </w:r>
    </w:p>
    <w:p w14:paraId="6721E7E5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报告期内，公司实现营业总收入为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182,828.19</w:t>
      </w:r>
      <w:r>
        <w:rPr>
          <w:rFonts w:asciiTheme="minorEastAsia" w:hAnsiTheme="minorEastAsia" w:hint="eastAsia"/>
          <w:sz w:val="24"/>
          <w:szCs w:val="24"/>
        </w:rPr>
        <w:t>万元，比去年同期增长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1.55%</w:t>
      </w:r>
      <w:r>
        <w:rPr>
          <w:rFonts w:asciiTheme="minorEastAsia" w:hAnsiTheme="minorEastAsia" w:hint="eastAsia"/>
          <w:sz w:val="24"/>
          <w:szCs w:val="24"/>
        </w:rPr>
        <w:t>；归属于母公司的净利润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28,114.97</w:t>
      </w:r>
      <w:r>
        <w:rPr>
          <w:rFonts w:asciiTheme="minorEastAsia" w:hAnsiTheme="minorEastAsia" w:hint="eastAsia"/>
          <w:sz w:val="24"/>
          <w:szCs w:val="24"/>
        </w:rPr>
        <w:t>万元，比去年同期下降21.51%；经营活动产生的现金流量净额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46,857.06</w:t>
      </w:r>
      <w:r>
        <w:rPr>
          <w:rFonts w:asciiTheme="minorEastAsia" w:hAnsiTheme="minorEastAsia" w:hint="eastAsia"/>
          <w:sz w:val="24"/>
          <w:szCs w:val="24"/>
        </w:rPr>
        <w:t>万元，比去年同期上升38.51%；归属于母公司的净资产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284,813.11</w:t>
      </w:r>
      <w:r>
        <w:rPr>
          <w:rFonts w:asciiTheme="minorEastAsia" w:hAnsiTheme="minorEastAsia" w:hint="eastAsia"/>
          <w:sz w:val="24"/>
          <w:szCs w:val="24"/>
        </w:rPr>
        <w:t>万元，比去年同期增长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7.75%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ACA30B5" w14:textId="77777777" w:rsidR="00A06947" w:rsidRDefault="00000000">
      <w:pPr>
        <w:spacing w:line="360" w:lineRule="auto"/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万元</w:t>
      </w:r>
    </w:p>
    <w:tbl>
      <w:tblPr>
        <w:tblW w:w="8308" w:type="dxa"/>
        <w:tblInd w:w="98" w:type="dxa"/>
        <w:tblLook w:val="04A0" w:firstRow="1" w:lastRow="0" w:firstColumn="1" w:lastColumn="0" w:noHBand="0" w:noVBand="1"/>
      </w:tblPr>
      <w:tblGrid>
        <w:gridCol w:w="3551"/>
        <w:gridCol w:w="1721"/>
        <w:gridCol w:w="1573"/>
        <w:gridCol w:w="1463"/>
      </w:tblGrid>
      <w:tr w:rsidR="00A06947" w14:paraId="42455C1B" w14:textId="77777777">
        <w:trPr>
          <w:trHeight w:val="343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5489" w14:textId="77777777" w:rsidR="00A0694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7023C" w14:textId="77777777" w:rsidR="00A0694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D71F1" w14:textId="77777777" w:rsidR="00A0694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0299" w14:textId="77777777" w:rsidR="00A0694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增减比例</w:t>
            </w:r>
          </w:p>
        </w:tc>
      </w:tr>
      <w:tr w:rsidR="00A06947" w14:paraId="3D805879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B5E4F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DE91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182,828.19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51DC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180,035.82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555F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1.55%</w:t>
            </w:r>
          </w:p>
        </w:tc>
      </w:tr>
      <w:tr w:rsidR="00A06947" w14:paraId="0891D5E4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EF12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归属于上市公司股东的净利润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92E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28,114.97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850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35,819.19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81A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-21.51%</w:t>
            </w:r>
          </w:p>
        </w:tc>
      </w:tr>
      <w:tr w:rsidR="00A06947" w14:paraId="2DA8DA42" w14:textId="77777777">
        <w:trPr>
          <w:trHeight w:val="541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51F6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归属于上市公司股东的扣除非经常性损益的净利润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24C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22,376.85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D5E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26,159.42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6A9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-14.46%</w:t>
            </w:r>
          </w:p>
        </w:tc>
      </w:tr>
      <w:tr w:rsidR="00A06947" w14:paraId="37A55003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EBEB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7D5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46,857.06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A2A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33,829.42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CE83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38.51%</w:t>
            </w:r>
          </w:p>
        </w:tc>
      </w:tr>
      <w:tr w:rsidR="00A06947" w14:paraId="1A46BD2A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483F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基本每股收益（元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F8BD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40FE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1.6754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844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A06947" w14:paraId="5CC991AC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A32A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稀释每股收益（元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750D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D02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1.6754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F45E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6.61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%</w:t>
            </w:r>
          </w:p>
        </w:tc>
      </w:tr>
      <w:tr w:rsidR="00A06947" w14:paraId="21C322A0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5CC2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加权平均净资产收益率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603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10.23%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BF8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16.23%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1FF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-6.00%</w:t>
            </w:r>
          </w:p>
        </w:tc>
      </w:tr>
      <w:tr w:rsidR="00A06947" w14:paraId="62F76DF3" w14:textId="77777777">
        <w:trPr>
          <w:trHeight w:val="28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41550" w14:textId="77777777" w:rsidR="00A06947" w:rsidRDefault="00A06947">
            <w:pPr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278F3" w14:textId="77777777" w:rsidR="00A0694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年末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6E8C8" w14:textId="77777777" w:rsidR="00A0694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年末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D06B8" w14:textId="77777777" w:rsidR="00A0694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增减比例</w:t>
            </w:r>
          </w:p>
        </w:tc>
      </w:tr>
      <w:tr w:rsidR="00A06947" w14:paraId="022ADF97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EA75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资产总额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598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423,813.20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4684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371,380.67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BDB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14.12%</w:t>
            </w:r>
          </w:p>
        </w:tc>
      </w:tr>
      <w:tr w:rsidR="00A06947" w14:paraId="3D28B5DF" w14:textId="77777777">
        <w:trPr>
          <w:trHeight w:val="28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499F" w14:textId="77777777" w:rsidR="00A06947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归属于上市公司股东的净资产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213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284,813.11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44A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264,318.05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D7B8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7.75%</w:t>
            </w:r>
          </w:p>
        </w:tc>
      </w:tr>
    </w:tbl>
    <w:p w14:paraId="5DD5FEF5" w14:textId="77777777" w:rsidR="00A06947" w:rsidRDefault="00000000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二、财务状况、经营成果和现金流量情况分析</w:t>
      </w:r>
    </w:p>
    <w:p w14:paraId="75A2F0C4" w14:textId="77777777" w:rsidR="00A06947" w:rsidRDefault="00000000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（一）公司</w:t>
      </w:r>
      <w:r>
        <w:rPr>
          <w:sz w:val="24"/>
          <w:szCs w:val="24"/>
        </w:rPr>
        <w:t>资产</w:t>
      </w:r>
      <w:r>
        <w:rPr>
          <w:rFonts w:hint="eastAsia"/>
          <w:sz w:val="24"/>
          <w:szCs w:val="24"/>
        </w:rPr>
        <w:t>情</w:t>
      </w:r>
      <w:r>
        <w:rPr>
          <w:sz w:val="24"/>
          <w:szCs w:val="24"/>
        </w:rPr>
        <w:t>况分析</w:t>
      </w:r>
    </w:p>
    <w:p w14:paraId="06FB8166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截止20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3年12月31日，公司资产总额</w:t>
      </w:r>
      <w:r>
        <w:rPr>
          <w:rFonts w:asciiTheme="minorEastAsia" w:hAnsiTheme="minorEastAsia"/>
          <w:sz w:val="24"/>
          <w:szCs w:val="24"/>
        </w:rPr>
        <w:t>423,813.20</w:t>
      </w:r>
      <w:r>
        <w:rPr>
          <w:rFonts w:asciiTheme="minorEastAsia" w:hAnsiTheme="minorEastAsia" w:hint="eastAsia"/>
          <w:sz w:val="24"/>
          <w:szCs w:val="24"/>
        </w:rPr>
        <w:t>万元,比年初增加</w:t>
      </w:r>
      <w:r>
        <w:rPr>
          <w:rFonts w:asciiTheme="minorEastAsia" w:hAnsiTheme="minorEastAsia"/>
          <w:sz w:val="24"/>
          <w:szCs w:val="24"/>
        </w:rPr>
        <w:t xml:space="preserve">   52,432.53 </w:t>
      </w:r>
      <w:r>
        <w:rPr>
          <w:rFonts w:asciiTheme="minorEastAsia" w:hAnsiTheme="minorEastAsia" w:hint="eastAsia"/>
          <w:sz w:val="24"/>
          <w:szCs w:val="24"/>
        </w:rPr>
        <w:t>万元,增长14.12%。</w:t>
      </w:r>
    </w:p>
    <w:p w14:paraId="799FD2A2" w14:textId="77777777" w:rsidR="00A06947" w:rsidRDefault="00000000">
      <w:pPr>
        <w:spacing w:line="360" w:lineRule="auto"/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万元</w:t>
      </w:r>
    </w:p>
    <w:tbl>
      <w:tblPr>
        <w:tblW w:w="9301" w:type="dxa"/>
        <w:tblInd w:w="-147" w:type="dxa"/>
        <w:tblLook w:val="04A0" w:firstRow="1" w:lastRow="0" w:firstColumn="1" w:lastColumn="0" w:noHBand="0" w:noVBand="1"/>
      </w:tblPr>
      <w:tblGrid>
        <w:gridCol w:w="1985"/>
        <w:gridCol w:w="1296"/>
        <w:gridCol w:w="1116"/>
        <w:gridCol w:w="1296"/>
        <w:gridCol w:w="1116"/>
        <w:gridCol w:w="1296"/>
        <w:gridCol w:w="1196"/>
      </w:tblGrid>
      <w:tr w:rsidR="00A06947" w14:paraId="3E60CCED" w14:textId="77777777">
        <w:trPr>
          <w:trHeight w:val="2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36093FB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项目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9B2DE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2023年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3EFA859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20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2年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C1A0C8F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变动</w:t>
            </w:r>
          </w:p>
        </w:tc>
      </w:tr>
      <w:tr w:rsidR="00A06947" w14:paraId="47C04F3C" w14:textId="77777777">
        <w:trPr>
          <w:trHeight w:val="3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2A2670F" w14:textId="77777777" w:rsidR="00A06947" w:rsidRDefault="00A0694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B585E73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182C3DDE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44E2A30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5B56AA5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占比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BC93BD8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0209A9B6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比例</w:t>
            </w:r>
          </w:p>
        </w:tc>
      </w:tr>
      <w:tr w:rsidR="00A06947" w14:paraId="50C0ABA3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7968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55A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142,722.44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134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33.68%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36B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106,308.73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1F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28.63%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DF5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36,413.71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55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34.25%</w:t>
            </w:r>
          </w:p>
        </w:tc>
      </w:tr>
      <w:tr w:rsidR="00A06947" w14:paraId="0DC39B7D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77AA" w14:textId="77777777" w:rsidR="00A06947" w:rsidRDefault="0000000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交易性金融资产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7A5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382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C98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65,166.67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F5D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17.55%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22F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-65,166.67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C3E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-100.00%</w:t>
            </w:r>
          </w:p>
        </w:tc>
      </w:tr>
      <w:tr w:rsidR="00A06947" w14:paraId="335F0D48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B5B9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应收票据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2D3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287.85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250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22E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89.42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F6C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75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198.43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32A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221.92%</w:t>
            </w:r>
          </w:p>
        </w:tc>
      </w:tr>
      <w:tr w:rsidR="00A06947" w14:paraId="584D46B3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4A1D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4E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66,175.70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7A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15.61%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517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63,740.86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D2E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17.16%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74A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2,434.84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263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3.82%</w:t>
            </w:r>
          </w:p>
        </w:tc>
      </w:tr>
      <w:tr w:rsidR="00A06947" w14:paraId="4027FD75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33BF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预付款项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D6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258.30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DEE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0.06%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355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338.07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E5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0B5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-79.77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8B6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-23.60%</w:t>
            </w:r>
          </w:p>
        </w:tc>
      </w:tr>
      <w:tr w:rsidR="00A06947" w14:paraId="51AE6750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1E7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10F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6,540.91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8EB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FAC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4,915.67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90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674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1,625.24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506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33.06%</w:t>
            </w:r>
          </w:p>
        </w:tc>
      </w:tr>
      <w:tr w:rsidR="00A06947" w14:paraId="017375E5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C3E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存货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BAB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4,452.92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EB2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391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789.56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265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6CB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3,663.36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910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463.97%</w:t>
            </w:r>
          </w:p>
        </w:tc>
      </w:tr>
      <w:tr w:rsidR="00A06947" w14:paraId="2E338AB9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8179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合同资产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CA0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288.89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A0B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0CD" w14:textId="77777777" w:rsidR="00A06947" w:rsidRDefault="00A06947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68E9" w14:textId="77777777" w:rsidR="00A06947" w:rsidRDefault="00A06947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49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288.89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CBC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100.00%</w:t>
            </w:r>
          </w:p>
        </w:tc>
      </w:tr>
      <w:tr w:rsidR="00A06947" w14:paraId="1C170024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AC5C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其他流动资产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98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4,845.05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D02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4B9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1,646.00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E1C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0.44%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7F0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3,199.05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230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194.35%</w:t>
            </w:r>
          </w:p>
        </w:tc>
      </w:tr>
      <w:tr w:rsidR="00A06947" w14:paraId="30678899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1FD3" w14:textId="77777777" w:rsidR="00A06947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流动资产合计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A4B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225,572.05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C9C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53.22%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0A0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242,994.97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176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65.43%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526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-17,422.92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9D1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-7.17%</w:t>
            </w:r>
          </w:p>
        </w:tc>
      </w:tr>
      <w:tr w:rsidR="00A06947" w14:paraId="3D9168FF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1832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FC0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6,756.22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4A9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69D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1,485.91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AD7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271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5,270.31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99C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354.69%</w:t>
            </w:r>
          </w:p>
        </w:tc>
      </w:tr>
      <w:tr w:rsidR="00A06947" w14:paraId="644E63EA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C24D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其他权益工具投资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B84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18,569.86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270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4.38%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09F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2,025.47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1B1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99A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16,544.38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1E9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816.82%</w:t>
            </w:r>
          </w:p>
        </w:tc>
      </w:tr>
      <w:tr w:rsidR="00A06947" w14:paraId="68685DAD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F8C7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投资性房地产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ABE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3,931.58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A7C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0AE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4,110.58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6EC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604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-179.00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15B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-4.35%</w:t>
            </w:r>
          </w:p>
        </w:tc>
      </w:tr>
      <w:tr w:rsidR="00A06947" w14:paraId="22167476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409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DD1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63,175.24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4BB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14.91%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5C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40,898.13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38C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11.01%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638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22,277.12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96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54.47%</w:t>
            </w:r>
          </w:p>
        </w:tc>
      </w:tr>
      <w:tr w:rsidR="00A06947" w14:paraId="57926E52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9255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在建工程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9AF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43,043.53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E7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10.16%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BBC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17,021.43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F9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4.58%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C58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26,022.10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F8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152.88%</w:t>
            </w:r>
          </w:p>
        </w:tc>
      </w:tr>
      <w:tr w:rsidR="00A06947" w14:paraId="390AA082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216C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使用权资产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F9B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20,012.53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8DE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4.72%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8D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33,802.24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08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9.10%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196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-13,789.71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48E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-40.80%</w:t>
            </w:r>
          </w:p>
        </w:tc>
      </w:tr>
      <w:tr w:rsidR="00A06947" w14:paraId="0BA79456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65EE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无形资产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38F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32,596.16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64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7.69%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83F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14,586.13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C80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06A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18,010.03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A7B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123.47%</w:t>
            </w:r>
          </w:p>
        </w:tc>
      </w:tr>
      <w:tr w:rsidR="00A06947" w14:paraId="2F72BDE4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68F5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商誉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DF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4,203.54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369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47B9" w14:textId="77777777" w:rsidR="00A06947" w:rsidRDefault="00A06947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3F06" w14:textId="77777777" w:rsidR="00A06947" w:rsidRDefault="00A06947">
            <w:pPr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B99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4,203.54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019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100.00%</w:t>
            </w:r>
          </w:p>
        </w:tc>
      </w:tr>
      <w:tr w:rsidR="00A06947" w14:paraId="2BE6B54F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9FBB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2D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1,839.12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377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0.43%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F24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1,091.29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499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D7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747.83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0B5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68.53%</w:t>
            </w:r>
          </w:p>
        </w:tc>
      </w:tr>
      <w:tr w:rsidR="00A06947" w14:paraId="45C79004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68D9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递延所得税资产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BC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2,615.01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E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0.62%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EBD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2,246.03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CF6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828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368.98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7D0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16.43%</w:t>
            </w:r>
          </w:p>
        </w:tc>
      </w:tr>
      <w:tr w:rsidR="00A06947" w14:paraId="46B2002A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D594" w14:textId="77777777" w:rsidR="00A06947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其他非流动资产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465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1,498.36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2F1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0.35%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159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11,118.50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11D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2.99%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048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-9,620.14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807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-86.52%</w:t>
            </w:r>
          </w:p>
        </w:tc>
      </w:tr>
      <w:tr w:rsidR="00A06947" w14:paraId="257C5B66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82B" w14:textId="77777777" w:rsidR="00A0694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非流动资产合计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DC7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198,241.15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180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46.78%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556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128,385.70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255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34.57%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404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69,855.45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07C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54.41%</w:t>
            </w:r>
          </w:p>
        </w:tc>
      </w:tr>
      <w:tr w:rsidR="00A06947" w14:paraId="733243F4" w14:textId="77777777">
        <w:trPr>
          <w:trHeight w:val="2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2682" w14:textId="77777777" w:rsidR="00A06947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038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423,813.20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EB4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7E4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371,380.67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4D9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83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52,432.53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02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14.12%</w:t>
            </w:r>
          </w:p>
        </w:tc>
      </w:tr>
    </w:tbl>
    <w:p w14:paraId="6A65CC0B" w14:textId="77777777" w:rsidR="00A06947" w:rsidRDefault="00000000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主要变动原因：</w:t>
      </w:r>
    </w:p>
    <w:p w14:paraId="5E51AB1E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货币资金期末比期初增加</w:t>
      </w:r>
      <w:r>
        <w:rPr>
          <w:rFonts w:asciiTheme="minorEastAsia" w:hAnsiTheme="minorEastAsia"/>
          <w:sz w:val="24"/>
          <w:szCs w:val="24"/>
        </w:rPr>
        <w:t>36,413.71</w:t>
      </w:r>
      <w:r>
        <w:rPr>
          <w:rFonts w:asciiTheme="minorEastAsia" w:hAnsiTheme="minorEastAsia" w:hint="eastAsia"/>
          <w:sz w:val="24"/>
          <w:szCs w:val="24"/>
        </w:rPr>
        <w:t>万元，增长34.25%，主要系本期销售回款增加以及理财产品到期赎回所致。</w:t>
      </w:r>
    </w:p>
    <w:p w14:paraId="7E1E9807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交易性金融资产</w:t>
      </w:r>
      <w:proofErr w:type="gramStart"/>
      <w:r>
        <w:rPr>
          <w:rFonts w:asciiTheme="minorEastAsia" w:hAnsiTheme="minorEastAsia" w:hint="eastAsia"/>
          <w:sz w:val="24"/>
          <w:szCs w:val="24"/>
        </w:rPr>
        <w:t>期末为</w:t>
      </w:r>
      <w:proofErr w:type="gramEnd"/>
      <w:r>
        <w:rPr>
          <w:rFonts w:asciiTheme="minorEastAsia" w:hAnsiTheme="minorEastAsia" w:hint="eastAsia"/>
          <w:sz w:val="24"/>
          <w:szCs w:val="24"/>
        </w:rPr>
        <w:t>0，期初为</w:t>
      </w:r>
      <w:r>
        <w:rPr>
          <w:rFonts w:asciiTheme="minorEastAsia" w:hAnsiTheme="minorEastAsia"/>
          <w:sz w:val="24"/>
          <w:szCs w:val="24"/>
        </w:rPr>
        <w:t>65,166.67</w:t>
      </w:r>
      <w:r>
        <w:rPr>
          <w:rFonts w:asciiTheme="minorEastAsia" w:hAnsiTheme="minorEastAsia" w:hint="eastAsia"/>
          <w:sz w:val="24"/>
          <w:szCs w:val="24"/>
        </w:rPr>
        <w:t>万元，主要系本期理财产品到期赎回所致。</w:t>
      </w:r>
    </w:p>
    <w:p w14:paraId="76BB4797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应收票据期末比期初增加</w:t>
      </w:r>
      <w:r>
        <w:rPr>
          <w:rFonts w:asciiTheme="minorEastAsia" w:hAnsiTheme="minorEastAsia"/>
          <w:sz w:val="24"/>
          <w:szCs w:val="24"/>
        </w:rPr>
        <w:t>198.43</w:t>
      </w:r>
      <w:r>
        <w:rPr>
          <w:rFonts w:asciiTheme="minorEastAsia" w:hAnsiTheme="minorEastAsia" w:hint="eastAsia"/>
          <w:sz w:val="24"/>
          <w:szCs w:val="24"/>
        </w:rPr>
        <w:t>万元，增长221.92%，主要系公司本期收到银行承兑汇票未背书给供应商所致。</w:t>
      </w:r>
    </w:p>
    <w:p w14:paraId="09B66039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其他应收款期末比期初增加</w:t>
      </w:r>
      <w:r>
        <w:rPr>
          <w:rFonts w:asciiTheme="minorEastAsia" w:hAnsiTheme="minorEastAsia"/>
          <w:sz w:val="24"/>
          <w:szCs w:val="24"/>
        </w:rPr>
        <w:t>1,625.24</w:t>
      </w:r>
      <w:r>
        <w:rPr>
          <w:rFonts w:asciiTheme="minorEastAsia" w:hAnsiTheme="minorEastAsia" w:hint="eastAsia"/>
          <w:sz w:val="24"/>
          <w:szCs w:val="24"/>
        </w:rPr>
        <w:t>万元，增长</w:t>
      </w:r>
      <w:r>
        <w:rPr>
          <w:rFonts w:asciiTheme="minorEastAsia" w:hAnsiTheme="minorEastAsia"/>
          <w:sz w:val="24"/>
          <w:szCs w:val="24"/>
        </w:rPr>
        <w:t>33.06%</w:t>
      </w:r>
      <w:r>
        <w:rPr>
          <w:rFonts w:asciiTheme="minorEastAsia" w:hAnsiTheme="minorEastAsia" w:hint="eastAsia"/>
          <w:sz w:val="24"/>
          <w:szCs w:val="24"/>
        </w:rPr>
        <w:t>，主要系公司本期存出保证金增加所致。</w:t>
      </w:r>
    </w:p>
    <w:p w14:paraId="349621A1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存货期末比期初增加</w:t>
      </w:r>
      <w:r>
        <w:rPr>
          <w:rFonts w:asciiTheme="minorEastAsia" w:hAnsiTheme="minorEastAsia"/>
          <w:sz w:val="24"/>
          <w:szCs w:val="24"/>
        </w:rPr>
        <w:t>3,663.36</w:t>
      </w:r>
      <w:r>
        <w:rPr>
          <w:rFonts w:asciiTheme="minorEastAsia" w:hAnsiTheme="minorEastAsia" w:hint="eastAsia"/>
          <w:sz w:val="24"/>
          <w:szCs w:val="24"/>
        </w:rPr>
        <w:t>万元，增长</w:t>
      </w:r>
      <w:r>
        <w:rPr>
          <w:rFonts w:asciiTheme="minorEastAsia" w:hAnsiTheme="minorEastAsia"/>
          <w:sz w:val="24"/>
          <w:szCs w:val="24"/>
        </w:rPr>
        <w:t>463.97%</w:t>
      </w:r>
      <w:r>
        <w:rPr>
          <w:rFonts w:asciiTheme="minorEastAsia" w:hAnsiTheme="minorEastAsia" w:hint="eastAsia"/>
          <w:sz w:val="24"/>
          <w:szCs w:val="24"/>
        </w:rPr>
        <w:t>，主要系控股子公司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（昆山）有限公司100%股权，增加合同履约成本所致。</w:t>
      </w:r>
    </w:p>
    <w:p w14:paraId="7E94FCCB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合同资产期末</w:t>
      </w:r>
      <w:r>
        <w:rPr>
          <w:rFonts w:asciiTheme="minorEastAsia" w:hAnsiTheme="minorEastAsia"/>
          <w:sz w:val="24"/>
          <w:szCs w:val="24"/>
        </w:rPr>
        <w:t>288.89</w:t>
      </w:r>
      <w:r>
        <w:rPr>
          <w:rFonts w:asciiTheme="minorEastAsia" w:hAnsiTheme="minorEastAsia" w:hint="eastAsia"/>
          <w:sz w:val="24"/>
          <w:szCs w:val="24"/>
        </w:rPr>
        <w:t>万元，期初0万元，主要系控股子公司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</w:t>
      </w:r>
      <w:r>
        <w:rPr>
          <w:rFonts w:asciiTheme="minorEastAsia" w:hAnsiTheme="minorEastAsia" w:hint="eastAsia"/>
          <w:sz w:val="24"/>
          <w:szCs w:val="24"/>
        </w:rPr>
        <w:lastRenderedPageBreak/>
        <w:t>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（昆山）有限公司100%股权，增加合同资产所致。</w:t>
      </w:r>
    </w:p>
    <w:p w14:paraId="34B2F9BF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其他流动资产期末比期初增加3,199.05万元，增长194.35%，主要系公司增值税留抵税金增加所致。</w:t>
      </w:r>
    </w:p>
    <w:p w14:paraId="5123F3EB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长期股权投资期末比期初增加5,270.31万元，增长354.69%，主要系公司对深圳市光明海发投资建设有限公司进行增资所致。</w:t>
      </w:r>
    </w:p>
    <w:p w14:paraId="6B516EE9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其他权益工具投资期末比期初增加16,544.38万元，增长816.82%，主要系本期增加对深圳君联深</w:t>
      </w:r>
      <w:proofErr w:type="gramStart"/>
      <w:r>
        <w:rPr>
          <w:rFonts w:asciiTheme="minorEastAsia" w:hAnsiTheme="minorEastAsia" w:hint="eastAsia"/>
          <w:sz w:val="24"/>
          <w:szCs w:val="24"/>
        </w:rPr>
        <w:t>运私募股权投资</w:t>
      </w:r>
      <w:proofErr w:type="gramEnd"/>
      <w:r>
        <w:rPr>
          <w:rFonts w:asciiTheme="minorEastAsia" w:hAnsiTheme="minorEastAsia" w:hint="eastAsia"/>
          <w:sz w:val="24"/>
          <w:szCs w:val="24"/>
        </w:rPr>
        <w:t>基金合伙企业(有限合伙)和重庆瑞驰汽车实业有限公司的投资所致。</w:t>
      </w:r>
    </w:p>
    <w:p w14:paraId="2E18DA1B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固定资产期末比期初增加22,277.12万元，增长54.47%，主要系合肥新站智</w:t>
      </w:r>
      <w:proofErr w:type="gramStart"/>
      <w:r>
        <w:rPr>
          <w:rFonts w:asciiTheme="minorEastAsia" w:hAnsiTheme="minorEastAsia" w:hint="eastAsia"/>
          <w:sz w:val="24"/>
          <w:szCs w:val="24"/>
        </w:rPr>
        <w:t>造供应链基地完工转固</w:t>
      </w:r>
      <w:proofErr w:type="gramEnd"/>
      <w:r>
        <w:rPr>
          <w:rFonts w:asciiTheme="minorEastAsia" w:hAnsiTheme="minorEastAsia" w:hint="eastAsia"/>
          <w:sz w:val="24"/>
          <w:szCs w:val="24"/>
        </w:rPr>
        <w:t>及控股子公司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（昆山）有限公司100%股权增加固定资产所致。</w:t>
      </w:r>
    </w:p>
    <w:p w14:paraId="0A740239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在建工程期末比期初增加26,022.10万元，增长152.88%，主要系公司合肥智慧物流园、新能源汽车供应</w:t>
      </w:r>
      <w:proofErr w:type="gramStart"/>
      <w:r>
        <w:rPr>
          <w:rFonts w:asciiTheme="minorEastAsia" w:hAnsiTheme="minorEastAsia" w:hint="eastAsia"/>
          <w:sz w:val="24"/>
          <w:szCs w:val="24"/>
        </w:rPr>
        <w:t>链基地</w:t>
      </w:r>
      <w:proofErr w:type="gramEnd"/>
      <w:r>
        <w:rPr>
          <w:rFonts w:asciiTheme="minorEastAsia" w:hAnsiTheme="minorEastAsia" w:hint="eastAsia"/>
          <w:sz w:val="24"/>
          <w:szCs w:val="24"/>
        </w:rPr>
        <w:t>投入及半导体设备采购增加所致。</w:t>
      </w:r>
    </w:p>
    <w:p w14:paraId="1F85F1F7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使用权资产期末比期初减少13,789.71万元，下降40.80%，主要系公司租赁仓库本期支付租金及部分仓库退租所致。</w:t>
      </w:r>
    </w:p>
    <w:p w14:paraId="70A05F7A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无形资产期末比期初增加18,010.03万元，增长123.47%，主要系本期购置土地及控股子公司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（昆山）有限公司100%股权增加无形资产所致。</w:t>
      </w:r>
    </w:p>
    <w:p w14:paraId="537BC7DA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商誉期末</w:t>
      </w:r>
      <w:r>
        <w:rPr>
          <w:rFonts w:asciiTheme="minorEastAsia" w:hAnsiTheme="minorEastAsia"/>
          <w:sz w:val="24"/>
          <w:szCs w:val="24"/>
        </w:rPr>
        <w:t>4,203.54</w:t>
      </w:r>
      <w:r>
        <w:rPr>
          <w:rFonts w:asciiTheme="minorEastAsia" w:hAnsiTheme="minorEastAsia" w:hint="eastAsia"/>
          <w:sz w:val="24"/>
          <w:szCs w:val="24"/>
        </w:rPr>
        <w:t>万元，期初0万元，主要系控股子公司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（昆山）有限公司100%股权,收购金额大于被收购方可辨认净资产公允价值所致。</w:t>
      </w:r>
    </w:p>
    <w:p w14:paraId="4EAECBD6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长期待摊费用期末比期初增加747.83万元，增长68.53%，主要系装修项目增加所致。</w:t>
      </w:r>
    </w:p>
    <w:p w14:paraId="22CEC230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其他非流动资产期末比期初减少</w:t>
      </w:r>
      <w:r>
        <w:rPr>
          <w:rFonts w:asciiTheme="minorEastAsia" w:hAnsiTheme="minorEastAsia"/>
          <w:sz w:val="24"/>
          <w:szCs w:val="24"/>
        </w:rPr>
        <w:t>9,620.14</w:t>
      </w:r>
      <w:r>
        <w:rPr>
          <w:rFonts w:asciiTheme="minorEastAsia" w:hAnsiTheme="minorEastAsia" w:hint="eastAsia"/>
          <w:sz w:val="24"/>
          <w:szCs w:val="24"/>
        </w:rPr>
        <w:t>万元，下降86.52%，主要系预付土地</w:t>
      </w:r>
      <w:proofErr w:type="gramStart"/>
      <w:r>
        <w:rPr>
          <w:rFonts w:asciiTheme="minorEastAsia" w:hAnsiTheme="minorEastAsia" w:hint="eastAsia"/>
          <w:sz w:val="24"/>
          <w:szCs w:val="24"/>
        </w:rPr>
        <w:t>购置款本期</w:t>
      </w:r>
      <w:proofErr w:type="gramEnd"/>
      <w:r>
        <w:rPr>
          <w:rFonts w:asciiTheme="minorEastAsia" w:hAnsiTheme="minorEastAsia" w:hint="eastAsia"/>
          <w:sz w:val="24"/>
          <w:szCs w:val="24"/>
        </w:rPr>
        <w:t>办理完产权证所致。</w:t>
      </w:r>
    </w:p>
    <w:p w14:paraId="70FC5F0F" w14:textId="77777777" w:rsidR="00A06947" w:rsidRDefault="00000000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（二）公司</w:t>
      </w:r>
      <w:r>
        <w:rPr>
          <w:sz w:val="24"/>
          <w:szCs w:val="24"/>
        </w:rPr>
        <w:t>负债及权益情况分析</w:t>
      </w:r>
    </w:p>
    <w:p w14:paraId="1CD7C86C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截止2023年12月31日，公司负债总额126,625.71万元,比年初增加</w:t>
      </w:r>
      <w:r>
        <w:rPr>
          <w:rFonts w:asciiTheme="minorEastAsia" w:hAnsiTheme="minorEastAsia"/>
          <w:sz w:val="24"/>
          <w:szCs w:val="24"/>
        </w:rPr>
        <w:t xml:space="preserve">30,223.00 </w:t>
      </w:r>
      <w:r>
        <w:rPr>
          <w:rFonts w:asciiTheme="minorEastAsia" w:hAnsiTheme="minorEastAsia" w:hint="eastAsia"/>
          <w:sz w:val="24"/>
          <w:szCs w:val="24"/>
        </w:rPr>
        <w:t>万元,增长</w:t>
      </w:r>
      <w:r>
        <w:rPr>
          <w:rFonts w:asciiTheme="minorEastAsia" w:hAnsiTheme="minorEastAsia"/>
          <w:sz w:val="24"/>
          <w:szCs w:val="24"/>
        </w:rPr>
        <w:t>31.35%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1D30A862" w14:textId="77777777" w:rsidR="00A06947" w:rsidRDefault="00000000">
      <w:pPr>
        <w:spacing w:line="360" w:lineRule="auto"/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万元</w:t>
      </w:r>
    </w:p>
    <w:tbl>
      <w:tblPr>
        <w:tblW w:w="0" w:type="auto"/>
        <w:tblInd w:w="-519" w:type="dxa"/>
        <w:tblLook w:val="04A0" w:firstRow="1" w:lastRow="0" w:firstColumn="1" w:lastColumn="0" w:noHBand="0" w:noVBand="1"/>
      </w:tblPr>
      <w:tblGrid>
        <w:gridCol w:w="2320"/>
        <w:gridCol w:w="1133"/>
        <w:gridCol w:w="980"/>
        <w:gridCol w:w="1233"/>
        <w:gridCol w:w="980"/>
        <w:gridCol w:w="1121"/>
        <w:gridCol w:w="1048"/>
      </w:tblGrid>
      <w:tr w:rsidR="00A06947" w14:paraId="7353F056" w14:textId="77777777">
        <w:trPr>
          <w:trHeight w:val="280"/>
        </w:trPr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EB88693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项目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380FA07A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2023年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A8C3186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2年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7F54CD46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变动</w:t>
            </w:r>
          </w:p>
        </w:tc>
      </w:tr>
      <w:tr w:rsidR="00A06947" w14:paraId="3A52D946" w14:textId="77777777">
        <w:trPr>
          <w:trHeight w:val="280"/>
        </w:trPr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6380175" w14:textId="77777777" w:rsidR="00A06947" w:rsidRDefault="00A06947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D9CED33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8449591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A2AC5ED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45F7DE4D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51181B92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24E68396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比例</w:t>
            </w:r>
          </w:p>
        </w:tc>
      </w:tr>
      <w:tr w:rsidR="00A06947" w14:paraId="3ED9279B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2CB9" w14:textId="77777777" w:rsidR="00A06947" w:rsidRDefault="00000000">
            <w:pPr>
              <w:widowControl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应付票据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63F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4,399.31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B6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1.04%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E22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1,420.64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423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E5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2,978.68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EBE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209.67%</w:t>
            </w:r>
          </w:p>
        </w:tc>
      </w:tr>
      <w:tr w:rsidR="00A06947" w14:paraId="4734B4C5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369B" w14:textId="77777777" w:rsidR="00A06947" w:rsidRDefault="00000000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应付账款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B53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61,259.05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082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14.45%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03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45,184.57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EC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12.17%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479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16,074.48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52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35.58%</w:t>
            </w:r>
          </w:p>
        </w:tc>
      </w:tr>
      <w:tr w:rsidR="00A06947" w14:paraId="00297C54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C4FA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预收款项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9BB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525.38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13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0.12%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E0E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387.52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595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95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137.86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0A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35.57%</w:t>
            </w:r>
          </w:p>
        </w:tc>
      </w:tr>
      <w:tr w:rsidR="00A06947" w14:paraId="34664F6F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4296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合同负债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447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3,879.38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840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0.92%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1C5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226.23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B5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2F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3,653.15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E3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1614.82%</w:t>
            </w:r>
          </w:p>
        </w:tc>
      </w:tr>
      <w:tr w:rsidR="00A06947" w14:paraId="2A4211D6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22E0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应付职工薪酬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C52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4,435.99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C0C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1.05%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963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4,640.05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D5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042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-204.07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FA3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-4.40%</w:t>
            </w:r>
          </w:p>
        </w:tc>
      </w:tr>
      <w:tr w:rsidR="00A06947" w14:paraId="2C5DB8EE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0E7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应交税费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6A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4,752.97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56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1.12%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1E7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5,051.46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7AB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C8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-298.49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4DF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-5.91%</w:t>
            </w:r>
          </w:p>
        </w:tc>
      </w:tr>
      <w:tr w:rsidR="00A06947" w14:paraId="771F88DA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4A05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其他应付款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673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21,276.51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F10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5.02%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BFB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898.02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E6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0.24%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990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20,378.49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C64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2269.27%</w:t>
            </w:r>
          </w:p>
        </w:tc>
      </w:tr>
      <w:tr w:rsidR="00A06947" w14:paraId="02763A77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0517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一年内到期非流动负债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FA6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8,013.51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14D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1.89%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75D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11,357.81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7F7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E74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-3,344.30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FB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-29.44%</w:t>
            </w:r>
          </w:p>
        </w:tc>
      </w:tr>
      <w:tr w:rsidR="00A06947" w14:paraId="2B8553A1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9444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其他流动负债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AE8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103.44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2A6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0.02%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D42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7.05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F0B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B0E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96.39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D46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1367.16%</w:t>
            </w:r>
          </w:p>
        </w:tc>
      </w:tr>
      <w:tr w:rsidR="00A06947" w14:paraId="3D7B2F1E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03A8" w14:textId="77777777" w:rsidR="00A06947" w:rsidRDefault="0000000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流动负债合计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186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108,645.54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EF2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25.64%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720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69,173.35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0A0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18.63%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6AB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39,472.19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9C7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57.06%</w:t>
            </w:r>
          </w:p>
        </w:tc>
      </w:tr>
      <w:tr w:rsidR="00A06947" w14:paraId="70A12C90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6538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租赁负债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EE9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13,036.42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B0C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3.08%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BCA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23,679.61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1DF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6.38%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A21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-10,643.19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1A1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-44.95%</w:t>
            </w:r>
          </w:p>
        </w:tc>
      </w:tr>
      <w:tr w:rsidR="00A06947" w14:paraId="02FFD123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7756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预计负债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152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1,311.49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5D3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0.31%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33C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593.09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749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063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718.40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4B8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121.13%</w:t>
            </w:r>
          </w:p>
        </w:tc>
      </w:tr>
      <w:tr w:rsidR="00A06947" w14:paraId="055C6019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D873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递延收益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839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450.00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25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0.11%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B33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500.00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303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CBB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-50.00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C5E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-10.00%</w:t>
            </w:r>
          </w:p>
        </w:tc>
      </w:tr>
      <w:tr w:rsidR="00A06947" w14:paraId="1D8A5B86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4F43" w14:textId="77777777" w:rsidR="00A06947" w:rsidRDefault="00000000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递延所得税负债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8F4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3,151.63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BEF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0.74%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C77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2,456.66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3A3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E78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694.97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416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28.29%</w:t>
            </w:r>
          </w:p>
        </w:tc>
      </w:tr>
      <w:tr w:rsidR="00A06947" w14:paraId="56E71588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D940" w14:textId="77777777" w:rsidR="00A06947" w:rsidRDefault="0000000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非流动负债合计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679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17,949.54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983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4.24%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750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27,229.36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9CA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7.33%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D66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-9,279.82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8F7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-34.08%</w:t>
            </w:r>
          </w:p>
        </w:tc>
      </w:tr>
      <w:tr w:rsidR="00A06947" w14:paraId="72B04E6B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6EB" w14:textId="77777777" w:rsidR="00A06947" w:rsidRDefault="00000000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负债合计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808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126,595.08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3E9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29.87%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08C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96,402.71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CA6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25.96%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8A2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30,192.37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73E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31.32%</w:t>
            </w:r>
          </w:p>
        </w:tc>
      </w:tr>
      <w:tr w:rsidR="00A06947" w14:paraId="397BAAC9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61F" w14:textId="77777777" w:rsidR="00A06947" w:rsidRDefault="00000000">
            <w:pPr>
              <w:widowControl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股本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F8C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23,060.18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3C0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5.44%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4F1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23,060.18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76A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6.21%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E4B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0.00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2AD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 w:rsidR="00A06947" w14:paraId="6D251F4D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C6B2" w14:textId="77777777" w:rsidR="00A06947" w:rsidRDefault="00000000">
            <w:pPr>
              <w:widowControl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资本公积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872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131,092.01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0A5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30.93%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41E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131,092.01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4C9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35.30%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CDE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0.00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A02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 w:rsidR="00A06947" w14:paraId="41A573F6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CD7" w14:textId="77777777" w:rsidR="00A06947" w:rsidRDefault="00000000">
            <w:pPr>
              <w:widowControl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减：库存股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654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5,005.52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91E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1.18%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832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5,005.52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54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14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0.00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ACE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highlight w:val="yellow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0.00%</w:t>
            </w:r>
          </w:p>
        </w:tc>
      </w:tr>
      <w:tr w:rsidR="00A06947" w14:paraId="64100B68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6DE0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其他综合收益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E51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2,078.16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995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0.49%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CE6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1,694.98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448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BE8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383.18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A99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22.61%</w:t>
            </w:r>
          </w:p>
        </w:tc>
      </w:tr>
      <w:tr w:rsidR="00A06947" w14:paraId="668C3AAF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7C08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盈余公积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244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6,404.53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D52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1.51%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10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3,783.45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E8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1.02%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EA7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2,621.09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616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69.28%</w:t>
            </w:r>
          </w:p>
        </w:tc>
      </w:tr>
      <w:tr w:rsidR="00A06947" w14:paraId="566240E2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2C3C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未分配利润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B96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127,183.75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D32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30.01%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491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109,692.96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0ED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29.54%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38C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17,490.79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D6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15.95%</w:t>
            </w:r>
          </w:p>
        </w:tc>
      </w:tr>
      <w:tr w:rsidR="00A06947" w14:paraId="6A4B977D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0C19" w14:textId="77777777" w:rsidR="00A06947" w:rsidRDefault="00000000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归属于公司所有者权益合计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77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284,813.11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6AB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67.20%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A1D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264,318.05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FFB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71.17%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C8F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20,495.05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8F85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7.75%</w:t>
            </w:r>
          </w:p>
        </w:tc>
      </w:tr>
      <w:tr w:rsidR="00A06947" w14:paraId="70EEE3B8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829B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少数股东权益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593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12,405.01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466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2.93%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0E6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10,659.90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3A3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2.87%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388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1,745.11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BBB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16.37%</w:t>
            </w:r>
          </w:p>
        </w:tc>
      </w:tr>
      <w:tr w:rsidR="00A06947" w14:paraId="18E1B351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094D" w14:textId="77777777" w:rsidR="00A06947" w:rsidRDefault="00000000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所有者权益合计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816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297,218.12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094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70.13%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5B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274,977.96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3D0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74.04%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4C6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22,240.16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84C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8.09%</w:t>
            </w:r>
          </w:p>
        </w:tc>
      </w:tr>
      <w:tr w:rsidR="00A06947" w14:paraId="1D1705FF" w14:textId="77777777">
        <w:trPr>
          <w:trHeight w:val="280"/>
        </w:trPr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E8EB" w14:textId="77777777" w:rsidR="00A06947" w:rsidRDefault="00000000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负债和所有者权益总计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459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423,813.20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202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16E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371,380.67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149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100.00%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2F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52,432.53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248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14.12%</w:t>
            </w:r>
          </w:p>
        </w:tc>
      </w:tr>
    </w:tbl>
    <w:p w14:paraId="174DDA23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主要变动原因:</w:t>
      </w:r>
    </w:p>
    <w:p w14:paraId="20B623AB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应付票据期末比期初增加</w:t>
      </w:r>
      <w:r>
        <w:rPr>
          <w:rFonts w:ascii="Times New Roman" w:eastAsia="宋体" w:hAnsi="Times New Roman" w:cs="Times New Roman"/>
          <w:color w:val="000000"/>
          <w:kern w:val="0"/>
          <w:szCs w:val="21"/>
          <w:lang w:bidi="ar"/>
        </w:rPr>
        <w:t xml:space="preserve">2,978.68 </w:t>
      </w:r>
      <w:r>
        <w:rPr>
          <w:rFonts w:asciiTheme="minorEastAsia" w:hAnsiTheme="minorEastAsia" w:hint="eastAsia"/>
          <w:sz w:val="24"/>
          <w:szCs w:val="24"/>
        </w:rPr>
        <w:t>万元，增长209.67%，主要系开出给供应商银行承兑汇票增加所致。</w:t>
      </w:r>
    </w:p>
    <w:p w14:paraId="06831E62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应付账款期末比期初增加</w:t>
      </w:r>
      <w:r>
        <w:rPr>
          <w:rFonts w:asciiTheme="minorEastAsia" w:hAnsiTheme="minorEastAsia"/>
          <w:sz w:val="24"/>
          <w:szCs w:val="24"/>
        </w:rPr>
        <w:t xml:space="preserve">16,074.48 </w:t>
      </w:r>
      <w:r>
        <w:rPr>
          <w:rFonts w:asciiTheme="minorEastAsia" w:hAnsiTheme="minorEastAsia" w:hint="eastAsia"/>
          <w:sz w:val="24"/>
          <w:szCs w:val="24"/>
        </w:rPr>
        <w:t>万元，增长35.58%，主要系公司应付设备款增加所致。</w:t>
      </w:r>
    </w:p>
    <w:p w14:paraId="6F313F1C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预收款项期末比期初增加</w:t>
      </w:r>
      <w:r>
        <w:rPr>
          <w:rFonts w:asciiTheme="minorEastAsia" w:hAnsiTheme="minorEastAsia"/>
          <w:sz w:val="24"/>
          <w:szCs w:val="24"/>
        </w:rPr>
        <w:t xml:space="preserve">137.86 </w:t>
      </w:r>
      <w:r>
        <w:rPr>
          <w:rFonts w:asciiTheme="minorEastAsia" w:hAnsiTheme="minorEastAsia" w:hint="eastAsia"/>
          <w:sz w:val="24"/>
          <w:szCs w:val="24"/>
        </w:rPr>
        <w:t>万元，增长</w:t>
      </w:r>
      <w:r>
        <w:rPr>
          <w:rFonts w:asciiTheme="minorEastAsia" w:hAnsiTheme="minorEastAsia"/>
          <w:sz w:val="24"/>
          <w:szCs w:val="24"/>
        </w:rPr>
        <w:t>35.57%</w:t>
      </w:r>
      <w:r>
        <w:rPr>
          <w:rFonts w:asciiTheme="minorEastAsia" w:hAnsiTheme="minorEastAsia" w:hint="eastAsia"/>
          <w:sz w:val="24"/>
          <w:szCs w:val="24"/>
        </w:rPr>
        <w:t>，主要系新零售业务预收款增加所致。</w:t>
      </w:r>
    </w:p>
    <w:p w14:paraId="4F4F0723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合同负债期末比期初增加</w:t>
      </w:r>
      <w:r>
        <w:rPr>
          <w:rFonts w:asciiTheme="minorEastAsia" w:hAnsiTheme="minorEastAsia"/>
          <w:sz w:val="24"/>
          <w:szCs w:val="24"/>
        </w:rPr>
        <w:t xml:space="preserve">3,653.15 </w:t>
      </w:r>
      <w:r>
        <w:rPr>
          <w:rFonts w:asciiTheme="minorEastAsia" w:hAnsiTheme="minorEastAsia" w:hint="eastAsia"/>
          <w:sz w:val="24"/>
          <w:szCs w:val="24"/>
        </w:rPr>
        <w:t>万元，增长1614.82%，主要系控股子公司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（昆山）有限公司100%股权，增加预收货款所致。</w:t>
      </w:r>
    </w:p>
    <w:p w14:paraId="25D1AE32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其他应付款期末比期初增加</w:t>
      </w:r>
      <w:r>
        <w:rPr>
          <w:rFonts w:asciiTheme="minorEastAsia" w:hAnsiTheme="minorEastAsia"/>
          <w:sz w:val="24"/>
          <w:szCs w:val="24"/>
        </w:rPr>
        <w:t xml:space="preserve">20,378.49 </w:t>
      </w:r>
      <w:r>
        <w:rPr>
          <w:rFonts w:asciiTheme="minorEastAsia" w:hAnsiTheme="minorEastAsia" w:hint="eastAsia"/>
          <w:sz w:val="24"/>
          <w:szCs w:val="24"/>
        </w:rPr>
        <w:t>万元，增长</w:t>
      </w:r>
      <w:r>
        <w:rPr>
          <w:rFonts w:asciiTheme="minorEastAsia" w:hAnsiTheme="minorEastAsia"/>
          <w:sz w:val="24"/>
          <w:szCs w:val="24"/>
        </w:rPr>
        <w:t>128.83%</w:t>
      </w:r>
      <w:r>
        <w:rPr>
          <w:rFonts w:asciiTheme="minorEastAsia" w:hAnsiTheme="minorEastAsia" w:hint="eastAsia"/>
          <w:sz w:val="24"/>
          <w:szCs w:val="24"/>
        </w:rPr>
        <w:t>，主要系控股子公司</w:t>
      </w:r>
      <w:proofErr w:type="gramStart"/>
      <w:r>
        <w:rPr>
          <w:rFonts w:asciiTheme="minorEastAsia" w:hAnsiTheme="minorEastAsia" w:hint="eastAsia"/>
          <w:sz w:val="24"/>
          <w:szCs w:val="24"/>
        </w:rPr>
        <w:t>收购盟立自动化</w:t>
      </w:r>
      <w:proofErr w:type="gramEnd"/>
      <w:r>
        <w:rPr>
          <w:rFonts w:asciiTheme="minorEastAsia" w:hAnsiTheme="minorEastAsia" w:hint="eastAsia"/>
          <w:sz w:val="24"/>
          <w:szCs w:val="24"/>
        </w:rPr>
        <w:t>（昆山）有限公司100%股权，截止期末股权转款未支付所致。</w:t>
      </w:r>
    </w:p>
    <w:p w14:paraId="78147DE4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其他流动负债期末比期初增加96.39 万元，增长1367.16%，主要系主要系预收客户款项销项税增加所致。</w:t>
      </w:r>
    </w:p>
    <w:p w14:paraId="452E89D7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租赁负债期末比期</w:t>
      </w:r>
      <w:proofErr w:type="gramStart"/>
      <w:r>
        <w:rPr>
          <w:rFonts w:asciiTheme="minorEastAsia" w:hAnsiTheme="minorEastAsia" w:hint="eastAsia"/>
          <w:sz w:val="24"/>
          <w:szCs w:val="24"/>
        </w:rPr>
        <w:t>初下降</w:t>
      </w:r>
      <w:proofErr w:type="gramEnd"/>
      <w:r>
        <w:rPr>
          <w:rFonts w:asciiTheme="minorEastAsia" w:hAnsiTheme="minorEastAsia"/>
          <w:sz w:val="24"/>
          <w:szCs w:val="24"/>
        </w:rPr>
        <w:t xml:space="preserve">10,643.19 </w:t>
      </w:r>
      <w:r>
        <w:rPr>
          <w:rFonts w:asciiTheme="minorEastAsia" w:hAnsiTheme="minorEastAsia" w:hint="eastAsia"/>
          <w:sz w:val="24"/>
          <w:szCs w:val="24"/>
        </w:rPr>
        <w:t>万元，下降44.95%，主要系公司租赁仓库本期支付租金及部分仓库退租所致。</w:t>
      </w:r>
    </w:p>
    <w:p w14:paraId="256ADA3E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预计负债期末比期初增加718.40 万元，增长121.13%，主要系公司本期计提物流责任事故所致。</w:t>
      </w:r>
    </w:p>
    <w:p w14:paraId="0F434DE6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盈余公积期末比期初增加</w:t>
      </w:r>
      <w:r>
        <w:rPr>
          <w:rFonts w:asciiTheme="minorEastAsia" w:hAnsiTheme="minorEastAsia"/>
          <w:sz w:val="24"/>
          <w:szCs w:val="24"/>
        </w:rPr>
        <w:t xml:space="preserve">2,621.09 </w:t>
      </w:r>
      <w:r>
        <w:rPr>
          <w:rFonts w:asciiTheme="minorEastAsia" w:hAnsiTheme="minorEastAsia" w:hint="eastAsia"/>
          <w:sz w:val="24"/>
          <w:szCs w:val="24"/>
        </w:rPr>
        <w:t>万元，增长</w:t>
      </w:r>
      <w:r>
        <w:rPr>
          <w:rFonts w:asciiTheme="minorEastAsia" w:hAnsiTheme="minorEastAsia"/>
          <w:sz w:val="24"/>
          <w:szCs w:val="24"/>
        </w:rPr>
        <w:t>69.28%</w:t>
      </w:r>
      <w:r>
        <w:rPr>
          <w:rFonts w:asciiTheme="minorEastAsia" w:hAnsiTheme="minorEastAsia" w:hint="eastAsia"/>
          <w:sz w:val="24"/>
          <w:szCs w:val="24"/>
        </w:rPr>
        <w:t>，主要系本期盈利增加，公司按照《公司法》计提10%法定盈余公积所致。</w:t>
      </w:r>
    </w:p>
    <w:p w14:paraId="24102E13" w14:textId="77777777" w:rsidR="00A06947" w:rsidRDefault="00000000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（三）公司经营情况分析</w:t>
      </w:r>
    </w:p>
    <w:p w14:paraId="1BC44740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3年，实现营业收入182,828.19万元，比上年同期增加1.55%；实现</w:t>
      </w:r>
      <w:proofErr w:type="gramStart"/>
      <w:r>
        <w:rPr>
          <w:rFonts w:asciiTheme="minorEastAsia" w:hAnsiTheme="minorEastAsia" w:hint="eastAsia"/>
          <w:sz w:val="24"/>
          <w:szCs w:val="24"/>
        </w:rPr>
        <w:t>归母净利润</w:t>
      </w:r>
      <w:proofErr w:type="gramEnd"/>
      <w:r>
        <w:rPr>
          <w:rFonts w:asciiTheme="minorEastAsia" w:hAnsiTheme="minorEastAsia" w:hint="eastAsia"/>
          <w:sz w:val="24"/>
          <w:szCs w:val="24"/>
        </w:rPr>
        <w:t>28,114.97万元，比上年同期下降21.51%。</w:t>
      </w:r>
    </w:p>
    <w:p w14:paraId="732E2AED" w14:textId="77777777" w:rsidR="00A06947" w:rsidRDefault="00000000">
      <w:pPr>
        <w:spacing w:line="360" w:lineRule="auto"/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万元</w:t>
      </w:r>
    </w:p>
    <w:tbl>
      <w:tblPr>
        <w:tblW w:w="8437" w:type="dxa"/>
        <w:tblInd w:w="-5" w:type="dxa"/>
        <w:tblLook w:val="04A0" w:firstRow="1" w:lastRow="0" w:firstColumn="1" w:lastColumn="0" w:noHBand="0" w:noVBand="1"/>
      </w:tblPr>
      <w:tblGrid>
        <w:gridCol w:w="3299"/>
        <w:gridCol w:w="1377"/>
        <w:gridCol w:w="1349"/>
        <w:gridCol w:w="1253"/>
        <w:gridCol w:w="1159"/>
      </w:tblGrid>
      <w:tr w:rsidR="00A06947" w14:paraId="056A8BA9" w14:textId="77777777">
        <w:trPr>
          <w:trHeight w:val="378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D31ACAD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5BA35F4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2023年度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B48198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2022年度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EDC87A6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变动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D4CC690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比率</w:t>
            </w:r>
          </w:p>
        </w:tc>
      </w:tr>
      <w:tr w:rsidR="00A06947" w14:paraId="2C22DCE3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83EC" w14:textId="77777777" w:rsidR="00A06947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一、营业收入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D10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182,828.19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8AC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180,035.82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BB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2,792.37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732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1.55%</w:t>
            </w:r>
          </w:p>
        </w:tc>
      </w:tr>
      <w:tr w:rsidR="00A06947" w14:paraId="44DF7139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C702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减：营业成本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69B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141,422.45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C6E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134,787.61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564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6,634.84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B60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4.92%</w:t>
            </w:r>
          </w:p>
        </w:tc>
      </w:tr>
      <w:tr w:rsidR="00A06947" w14:paraId="04FAE677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7345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税金及附加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68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533.33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934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630.86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080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-97.53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AF7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-15.46%</w:t>
            </w:r>
          </w:p>
        </w:tc>
      </w:tr>
      <w:tr w:rsidR="00A06947" w14:paraId="0122EEE3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2279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销售费用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3B1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4,498.19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F2D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3,951.48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4F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546.72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C06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13.84%</w:t>
            </w:r>
          </w:p>
        </w:tc>
      </w:tr>
      <w:tr w:rsidR="00A06947" w14:paraId="24CCC041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282C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管理费用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22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10,158.21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BE0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9,474.17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5D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684.04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7E5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7.22%</w:t>
            </w:r>
          </w:p>
        </w:tc>
      </w:tr>
      <w:tr w:rsidR="00A06947" w14:paraId="1E3A331E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4ADD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研发费用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48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2,873.98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5D5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2,655.05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EEC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218.93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0A6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8.25%</w:t>
            </w:r>
          </w:p>
        </w:tc>
      </w:tr>
      <w:tr w:rsidR="00A06947" w14:paraId="2372FBA1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B8C7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财务费用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6A9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-5,273.81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AA1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-4,300.25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58D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-973.55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8B1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22.64%</w:t>
            </w:r>
          </w:p>
        </w:tc>
      </w:tr>
      <w:tr w:rsidR="00A06947" w14:paraId="5C9E9D94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2163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加：其他收益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9AE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8,629.10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2B6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10,296.65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74D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-1,667.55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8B0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-16.20%</w:t>
            </w:r>
          </w:p>
        </w:tc>
      </w:tr>
      <w:tr w:rsidR="00A06947" w14:paraId="445F82A9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1147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投资收益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BAD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977.58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BE9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2,257.10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787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-1,279.51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C9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-56.69%</w:t>
            </w:r>
          </w:p>
        </w:tc>
      </w:tr>
      <w:tr w:rsidR="00A06947" w14:paraId="3F8F269C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58C6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公允价值变动收益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36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0.00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121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-35.45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A8A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35.45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5C7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-100.00%</w:t>
            </w:r>
          </w:p>
        </w:tc>
      </w:tr>
      <w:tr w:rsidR="00A06947" w14:paraId="1CED34FF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FF4B" w14:textId="77777777" w:rsidR="00A06947" w:rsidRDefault="0000000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信用减值损失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B2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-5.84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124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-587.42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151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581.58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E62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-99.01%</w:t>
            </w:r>
          </w:p>
        </w:tc>
      </w:tr>
      <w:tr w:rsidR="00A06947" w14:paraId="6F1F91BC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D169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资产处置收益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7A8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285.35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FDD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20.60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B31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264.74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439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1284.87%</w:t>
            </w:r>
          </w:p>
        </w:tc>
      </w:tr>
      <w:tr w:rsidR="00A06947" w14:paraId="2110C5E0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BFE0" w14:textId="77777777" w:rsidR="00A06947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二、营业利润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C17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38,502.02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3BA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44,788.40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BFA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-6,286.37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F83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-14.04%</w:t>
            </w:r>
          </w:p>
        </w:tc>
      </w:tr>
      <w:tr w:rsidR="00A06947" w14:paraId="013E3C43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D3E8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加：营业外收入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213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1,551.07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8A5E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325.22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939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1,225.85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BC1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376.93%</w:t>
            </w:r>
          </w:p>
        </w:tc>
      </w:tr>
      <w:tr w:rsidR="00A06947" w14:paraId="202BEEEF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8685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减：营业外支出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6E4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4,755.82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E73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601.06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7F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4,154.76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455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691.24%</w:t>
            </w:r>
          </w:p>
        </w:tc>
      </w:tr>
      <w:tr w:rsidR="00A06947" w14:paraId="401B359F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FAC0" w14:textId="77777777" w:rsidR="00A06947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三、利润总额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6CD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35,297.26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67A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44,512.56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286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-9,215.29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8EA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-20.70%</w:t>
            </w:r>
          </w:p>
        </w:tc>
      </w:tr>
      <w:tr w:rsidR="00A06947" w14:paraId="0F6F8563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DAE4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减：所得税费用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5DA1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5,741.14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CC9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7,572.97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AF2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-1,831.83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384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-24.19%</w:t>
            </w:r>
          </w:p>
        </w:tc>
      </w:tr>
      <w:tr w:rsidR="00A06947" w14:paraId="34AC9FA5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E408" w14:textId="77777777" w:rsidR="00A06947" w:rsidRDefault="0000000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四、净利润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E22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29,556.13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6E9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36,939.59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E1C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-7,383.46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CB2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-19.99%</w:t>
            </w:r>
          </w:p>
        </w:tc>
      </w:tr>
      <w:tr w:rsidR="00A06947" w14:paraId="3D16CB56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410D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归属于公司所有者净利润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6DD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28,114.97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639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35,819.19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52C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-7,704.22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86D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-21.51%</w:t>
            </w:r>
          </w:p>
        </w:tc>
      </w:tr>
      <w:tr w:rsidR="00A06947" w14:paraId="477EF6A7" w14:textId="77777777">
        <w:trPr>
          <w:trHeight w:val="283"/>
        </w:trPr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4EE" w14:textId="77777777" w:rsidR="00A06947" w:rsidRDefault="000000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少数股东损益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CB4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1,441.16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AA2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1,120.40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415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320.76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30D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28.63%</w:t>
            </w:r>
          </w:p>
        </w:tc>
      </w:tr>
    </w:tbl>
    <w:p w14:paraId="6CC94300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主要变动原因：</w:t>
      </w:r>
    </w:p>
    <w:p w14:paraId="001C4B25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公司本期投资收益</w:t>
      </w:r>
      <w:r>
        <w:rPr>
          <w:rFonts w:asciiTheme="minorEastAsia" w:hAnsiTheme="minorEastAsia"/>
          <w:sz w:val="24"/>
          <w:szCs w:val="24"/>
        </w:rPr>
        <w:t>977.58</w:t>
      </w:r>
      <w:r>
        <w:rPr>
          <w:rFonts w:asciiTheme="minorEastAsia" w:hAnsiTheme="minorEastAsia" w:hint="eastAsia"/>
          <w:sz w:val="24"/>
          <w:szCs w:val="24"/>
        </w:rPr>
        <w:t>万元，较上年同期减少</w:t>
      </w:r>
      <w:r>
        <w:rPr>
          <w:rFonts w:asciiTheme="minorEastAsia" w:hAnsiTheme="minorEastAsia"/>
          <w:sz w:val="24"/>
          <w:szCs w:val="24"/>
        </w:rPr>
        <w:t>1,279.51</w:t>
      </w:r>
      <w:r>
        <w:rPr>
          <w:rFonts w:asciiTheme="minorEastAsia" w:hAnsiTheme="minorEastAsia" w:hint="eastAsia"/>
          <w:sz w:val="24"/>
          <w:szCs w:val="24"/>
        </w:rPr>
        <w:t>，主要系本期收到理财产品利息减少所致。</w:t>
      </w:r>
    </w:p>
    <w:p w14:paraId="587B6C88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公司本期公允价值变动收益0万元，上年同期-35.45万，主要系期末未购买理财产品所致。</w:t>
      </w:r>
    </w:p>
    <w:p w14:paraId="11FF900D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公司本期信用减值损失</w:t>
      </w:r>
      <w:r>
        <w:rPr>
          <w:rFonts w:asciiTheme="minorEastAsia" w:hAnsiTheme="minorEastAsia"/>
          <w:sz w:val="24"/>
          <w:szCs w:val="24"/>
        </w:rPr>
        <w:t>-5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84</w:t>
      </w:r>
      <w:r>
        <w:rPr>
          <w:rFonts w:asciiTheme="minorEastAsia" w:hAnsiTheme="minorEastAsia" w:hint="eastAsia"/>
          <w:sz w:val="24"/>
          <w:szCs w:val="24"/>
        </w:rPr>
        <w:t>万元，较上年同期下降</w:t>
      </w:r>
      <w:r>
        <w:rPr>
          <w:rFonts w:asciiTheme="minorEastAsia" w:hAnsiTheme="minorEastAsia"/>
          <w:sz w:val="24"/>
          <w:szCs w:val="24"/>
        </w:rPr>
        <w:t>99.01%</w:t>
      </w:r>
      <w:r>
        <w:rPr>
          <w:rFonts w:asciiTheme="minorEastAsia" w:hAnsiTheme="minorEastAsia" w:hint="eastAsia"/>
          <w:sz w:val="24"/>
          <w:szCs w:val="24"/>
        </w:rPr>
        <w:t>，主要系公司应收账款坏账准备减少所致。</w:t>
      </w:r>
    </w:p>
    <w:p w14:paraId="14460124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公司本期资产处置收益</w:t>
      </w:r>
      <w:r>
        <w:rPr>
          <w:rFonts w:asciiTheme="minorEastAsia" w:hAnsiTheme="minorEastAsia"/>
          <w:sz w:val="24"/>
          <w:szCs w:val="24"/>
        </w:rPr>
        <w:t xml:space="preserve"> 285.35 </w:t>
      </w:r>
      <w:r>
        <w:rPr>
          <w:rFonts w:asciiTheme="minorEastAsia" w:hAnsiTheme="minorEastAsia" w:hint="eastAsia"/>
          <w:sz w:val="24"/>
          <w:szCs w:val="24"/>
        </w:rPr>
        <w:t>万元，较上年同期增加1284.87%，主要系公司使用权资产处置收益增加所致。</w:t>
      </w:r>
    </w:p>
    <w:p w14:paraId="5CA68151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公司本期营业外收入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1,551.07</w:t>
      </w:r>
      <w:r>
        <w:rPr>
          <w:rFonts w:asciiTheme="minorEastAsia" w:hAnsiTheme="minorEastAsia" w:hint="eastAsia"/>
          <w:sz w:val="24"/>
          <w:szCs w:val="24"/>
        </w:rPr>
        <w:t>万元，较上年同期增加376.93%，主要系本期收到保险公司物流责任保险理赔款增加所致。</w:t>
      </w:r>
    </w:p>
    <w:p w14:paraId="7ABBE5F3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公司本期营业外支出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4,755.82</w:t>
      </w:r>
      <w:r>
        <w:rPr>
          <w:rFonts w:asciiTheme="minorEastAsia" w:hAnsiTheme="minorEastAsia" w:hint="eastAsia"/>
          <w:sz w:val="24"/>
          <w:szCs w:val="24"/>
        </w:rPr>
        <w:t>万元，较上年同期增加691.24%，主要系本期赔偿支出和违约金增加所致。</w:t>
      </w:r>
    </w:p>
    <w:p w14:paraId="1571A034" w14:textId="77777777" w:rsidR="00A06947" w:rsidRDefault="00000000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（四）公司现金流量情况分析</w:t>
      </w:r>
    </w:p>
    <w:p w14:paraId="431BA75C" w14:textId="77777777" w:rsidR="00A06947" w:rsidRDefault="00000000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3年公司现金流量简表如下：</w:t>
      </w:r>
    </w:p>
    <w:p w14:paraId="16F03E4E" w14:textId="77777777" w:rsidR="00A06947" w:rsidRDefault="00000000">
      <w:pPr>
        <w:spacing w:line="360" w:lineRule="auto"/>
        <w:ind w:firstLineChars="3300" w:firstLine="693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单位</w:t>
      </w:r>
      <w:r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/>
          <w:szCs w:val="21"/>
        </w:rPr>
        <w:t>万元</w:t>
      </w:r>
    </w:p>
    <w:tbl>
      <w:tblPr>
        <w:tblW w:w="9378" w:type="dxa"/>
        <w:tblInd w:w="-431" w:type="dxa"/>
        <w:tblLook w:val="04A0" w:firstRow="1" w:lastRow="0" w:firstColumn="1" w:lastColumn="0" w:noHBand="0" w:noVBand="1"/>
      </w:tblPr>
      <w:tblGrid>
        <w:gridCol w:w="3644"/>
        <w:gridCol w:w="1451"/>
        <w:gridCol w:w="1413"/>
        <w:gridCol w:w="1434"/>
        <w:gridCol w:w="1436"/>
      </w:tblGrid>
      <w:tr w:rsidR="00A06947" w14:paraId="4D71FBA1" w14:textId="77777777">
        <w:trPr>
          <w:trHeight w:val="38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992ED90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4B05BC5" w14:textId="77777777" w:rsidR="00A06947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lang w:bidi="ar"/>
              </w:rPr>
              <w:t>2023年度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CBD5FB8" w14:textId="77777777" w:rsidR="00A06947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2"/>
                <w:lang w:bidi="ar"/>
              </w:rPr>
              <w:t>2022年度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80DF6CD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变动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C1F21D" w14:textId="77777777" w:rsidR="00A06947" w:rsidRDefault="00000000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比率</w:t>
            </w:r>
          </w:p>
        </w:tc>
      </w:tr>
      <w:tr w:rsidR="00A06947" w14:paraId="1679CA20" w14:textId="77777777">
        <w:trPr>
          <w:trHeight w:val="353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3910" w14:textId="77777777" w:rsidR="00A06947" w:rsidRDefault="00000000">
            <w:pPr>
              <w:widowControl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经营活动现金流入小计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F20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232,730.22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E0D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194,399.77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74D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38,330.45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83C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19.72%</w:t>
            </w:r>
          </w:p>
        </w:tc>
      </w:tr>
      <w:tr w:rsidR="00A06947" w14:paraId="3510FD32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F1E2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经营活动现金流出小计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572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185,873.17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23C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160,570.35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1E8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25,302.82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FD9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15.76%</w:t>
            </w:r>
          </w:p>
        </w:tc>
      </w:tr>
      <w:tr w:rsidR="00A06947" w14:paraId="3083D43D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2654" w14:textId="77777777" w:rsidR="00A06947" w:rsidRDefault="00000000">
            <w:pPr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  <w:t>经营活动产生的现金流量净额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431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46,857.06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29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33,829.42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C07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13,027.63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4826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38.51%</w:t>
            </w:r>
          </w:p>
        </w:tc>
      </w:tr>
      <w:tr w:rsidR="00A06947" w14:paraId="5FA1268C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FA5B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投资活动现金流入小计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58D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91,134.87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EE0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275,078.11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50E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-183,943.24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211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-66.87%</w:t>
            </w:r>
          </w:p>
        </w:tc>
      </w:tr>
      <w:tr w:rsidR="00A06947" w14:paraId="45B33710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AA7E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投资活动现金流出小计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713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82,706.45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770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297,982.58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D62E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-215,276.13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A63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-72.24%</w:t>
            </w:r>
          </w:p>
        </w:tc>
      </w:tr>
      <w:tr w:rsidR="00A06947" w14:paraId="6EB8F0D3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4BAA" w14:textId="77777777" w:rsidR="00A06947" w:rsidRDefault="00000000">
            <w:pPr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  <w:lastRenderedPageBreak/>
              <w:t>投资活动产生的现金流量净额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7872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8,428.42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966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-22,904.47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402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31,332.89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49D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136.80%</w:t>
            </w:r>
          </w:p>
        </w:tc>
      </w:tr>
      <w:tr w:rsidR="00A06947" w14:paraId="2A3E26D1" w14:textId="77777777">
        <w:trPr>
          <w:trHeight w:val="36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D24D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筹资活动现金流入小计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B35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1,300.00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8CA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33,082.00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311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-31,782.00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4FAB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-96.07%</w:t>
            </w:r>
          </w:p>
        </w:tc>
      </w:tr>
      <w:tr w:rsidR="00A06947" w14:paraId="24229363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F5A5" w14:textId="77777777" w:rsidR="00A06947" w:rsidRDefault="00000000">
            <w:pPr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筹资活动现金流出小计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8CF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22,270.40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9BC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16,413.20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016D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5,857.20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8E28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35.69%</w:t>
            </w:r>
          </w:p>
        </w:tc>
      </w:tr>
      <w:tr w:rsidR="00A06947" w14:paraId="02A90EBC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45F" w14:textId="77777777" w:rsidR="00A06947" w:rsidRDefault="00000000">
            <w:pPr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b/>
                <w:bCs/>
                <w:color w:val="000000"/>
                <w:szCs w:val="21"/>
              </w:rPr>
              <w:t>筹资活动产生的现金流量净额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8E53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-20,970.40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C98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16,668.80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8BBF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-37,639.20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DA1A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-225.81%</w:t>
            </w:r>
          </w:p>
        </w:tc>
      </w:tr>
      <w:tr w:rsidR="00A06947" w14:paraId="20AA1354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FC5E" w14:textId="77777777" w:rsidR="00A06947" w:rsidRDefault="00000000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汇率变动对现金及现金等价物的影响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733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1,541.73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30B7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5,839.74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C29C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-4,298.01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A440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-73.60%</w:t>
            </w:r>
          </w:p>
        </w:tc>
      </w:tr>
      <w:tr w:rsidR="00A06947" w14:paraId="52E9D4D6" w14:textId="77777777">
        <w:trPr>
          <w:trHeight w:val="287"/>
        </w:trPr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C75" w14:textId="77777777" w:rsidR="00A06947" w:rsidRDefault="00000000">
            <w:pPr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color w:val="000000"/>
                <w:szCs w:val="21"/>
              </w:rPr>
              <w:t>现金及现金等价物净增加额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1E29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35,856.81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D394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33,433.50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8F9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2,423.31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3785" w14:textId="77777777" w:rsidR="00A06947" w:rsidRDefault="00000000">
            <w:pPr>
              <w:widowControl/>
              <w:jc w:val="right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7.25%</w:t>
            </w:r>
          </w:p>
        </w:tc>
      </w:tr>
    </w:tbl>
    <w:p w14:paraId="6F9708C1" w14:textId="77777777" w:rsidR="00A06947" w:rsidRDefault="00000000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主要变动原因：</w:t>
      </w:r>
    </w:p>
    <w:p w14:paraId="1037CD5A" w14:textId="77777777" w:rsidR="00A06947" w:rsidRDefault="00000000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年公司经营活动产生现金流量净额为</w:t>
      </w:r>
      <w:r>
        <w:rPr>
          <w:rFonts w:hint="eastAsia"/>
          <w:sz w:val="24"/>
          <w:szCs w:val="24"/>
        </w:rPr>
        <w:t>46,857.06</w:t>
      </w:r>
      <w:r>
        <w:rPr>
          <w:rFonts w:hint="eastAsia"/>
          <w:sz w:val="24"/>
          <w:szCs w:val="24"/>
        </w:rPr>
        <w:t>万元，比去年同期增加</w:t>
      </w:r>
      <w:r>
        <w:rPr>
          <w:rFonts w:hint="eastAsia"/>
          <w:sz w:val="24"/>
          <w:szCs w:val="24"/>
        </w:rPr>
        <w:t>38.51%</w:t>
      </w:r>
      <w:r>
        <w:rPr>
          <w:rFonts w:hint="eastAsia"/>
          <w:sz w:val="24"/>
          <w:szCs w:val="24"/>
        </w:rPr>
        <w:t>。其中经营性现金流入和流出均有增加，主要包括销售商品、提供劳务收到的现金增加</w:t>
      </w:r>
      <w:r>
        <w:rPr>
          <w:rFonts w:hint="eastAsia"/>
          <w:sz w:val="24"/>
          <w:szCs w:val="24"/>
        </w:rPr>
        <w:t>29,501.33</w:t>
      </w:r>
      <w:r>
        <w:rPr>
          <w:rFonts w:hint="eastAsia"/>
          <w:sz w:val="24"/>
          <w:szCs w:val="24"/>
        </w:rPr>
        <w:t>万元，购买商品、接受劳务支付的现金增加</w:t>
      </w:r>
      <w:r>
        <w:rPr>
          <w:rFonts w:hint="eastAsia"/>
          <w:sz w:val="24"/>
          <w:szCs w:val="24"/>
        </w:rPr>
        <w:t>6,225.35</w:t>
      </w:r>
      <w:r>
        <w:rPr>
          <w:rFonts w:hint="eastAsia"/>
          <w:sz w:val="24"/>
          <w:szCs w:val="24"/>
        </w:rPr>
        <w:t>万元，经营活动现金流入大于现金流出。</w:t>
      </w:r>
    </w:p>
    <w:p w14:paraId="47CDA546" w14:textId="77777777" w:rsidR="00A06947" w:rsidRDefault="00000000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年公司投资活动产生现金流量净额为</w:t>
      </w:r>
      <w:r>
        <w:rPr>
          <w:rFonts w:hint="eastAsia"/>
          <w:sz w:val="24"/>
          <w:szCs w:val="24"/>
        </w:rPr>
        <w:t>8,428.42</w:t>
      </w:r>
      <w:r>
        <w:rPr>
          <w:rFonts w:hint="eastAsia"/>
          <w:sz w:val="24"/>
          <w:szCs w:val="24"/>
        </w:rPr>
        <w:t>万元，比去年同期增加</w:t>
      </w:r>
      <w:r>
        <w:rPr>
          <w:rFonts w:hint="eastAsia"/>
          <w:sz w:val="24"/>
          <w:szCs w:val="24"/>
        </w:rPr>
        <w:t>136.80%</w:t>
      </w:r>
      <w:r>
        <w:rPr>
          <w:rFonts w:hint="eastAsia"/>
          <w:sz w:val="24"/>
          <w:szCs w:val="24"/>
        </w:rPr>
        <w:t>，主要系理财产品本期收回所致。</w:t>
      </w:r>
    </w:p>
    <w:p w14:paraId="374A5562" w14:textId="77777777" w:rsidR="00A06947" w:rsidRDefault="00000000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年公司筹资活动产生现金流量净额为</w:t>
      </w:r>
      <w:r>
        <w:rPr>
          <w:rFonts w:hint="eastAsia"/>
          <w:sz w:val="24"/>
          <w:szCs w:val="24"/>
        </w:rPr>
        <w:t>-20,970.40</w:t>
      </w:r>
      <w:r>
        <w:rPr>
          <w:rFonts w:hint="eastAsia"/>
          <w:sz w:val="24"/>
          <w:szCs w:val="24"/>
        </w:rPr>
        <w:t>万元，比去年同期下降</w:t>
      </w:r>
      <w:r>
        <w:rPr>
          <w:rFonts w:hint="eastAsia"/>
          <w:sz w:val="24"/>
          <w:szCs w:val="24"/>
        </w:rPr>
        <w:t>225.81%</w:t>
      </w:r>
      <w:r>
        <w:rPr>
          <w:rFonts w:hint="eastAsia"/>
          <w:sz w:val="24"/>
          <w:szCs w:val="24"/>
        </w:rPr>
        <w:t>，主要系公司去年收到定向增发新股所致。</w:t>
      </w:r>
    </w:p>
    <w:p w14:paraId="39BA5A1B" w14:textId="77777777" w:rsidR="00A06947" w:rsidRDefault="00000000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proofErr w:type="gramStart"/>
      <w:r>
        <w:rPr>
          <w:rFonts w:hint="eastAsia"/>
          <w:sz w:val="24"/>
          <w:szCs w:val="24"/>
        </w:rPr>
        <w:t>公司汇率</w:t>
      </w:r>
      <w:proofErr w:type="gramEnd"/>
      <w:r>
        <w:rPr>
          <w:rFonts w:hint="eastAsia"/>
          <w:sz w:val="24"/>
          <w:szCs w:val="24"/>
        </w:rPr>
        <w:t>变动对现金及现金等价物的影响为</w:t>
      </w:r>
      <w:r>
        <w:rPr>
          <w:rFonts w:hint="eastAsia"/>
          <w:sz w:val="24"/>
          <w:szCs w:val="24"/>
        </w:rPr>
        <w:t>1,541.73</w:t>
      </w:r>
      <w:r>
        <w:rPr>
          <w:rFonts w:hint="eastAsia"/>
          <w:sz w:val="24"/>
          <w:szCs w:val="24"/>
        </w:rPr>
        <w:t>万元，比去年同期下降</w:t>
      </w:r>
      <w:r>
        <w:rPr>
          <w:rFonts w:hint="eastAsia"/>
          <w:sz w:val="24"/>
          <w:szCs w:val="24"/>
        </w:rPr>
        <w:t>73.60%%</w:t>
      </w:r>
      <w:r>
        <w:rPr>
          <w:rFonts w:hint="eastAsia"/>
          <w:sz w:val="24"/>
          <w:szCs w:val="24"/>
        </w:rPr>
        <w:t>，主要系本期人民币贬值幅度小于去年同期所致。</w:t>
      </w:r>
    </w:p>
    <w:p w14:paraId="3D1F9EEB" w14:textId="77777777" w:rsidR="00A06947" w:rsidRDefault="00A06947">
      <w:pPr>
        <w:spacing w:line="360" w:lineRule="auto"/>
        <w:ind w:firstLine="480"/>
        <w:jc w:val="right"/>
        <w:rPr>
          <w:sz w:val="24"/>
          <w:szCs w:val="24"/>
        </w:rPr>
      </w:pPr>
    </w:p>
    <w:p w14:paraId="01206070" w14:textId="77777777" w:rsidR="00A06947" w:rsidRDefault="00A06947">
      <w:pPr>
        <w:spacing w:line="360" w:lineRule="auto"/>
        <w:ind w:firstLine="480"/>
        <w:jc w:val="right"/>
        <w:rPr>
          <w:sz w:val="24"/>
          <w:szCs w:val="24"/>
        </w:rPr>
      </w:pPr>
    </w:p>
    <w:p w14:paraId="52204B9A" w14:textId="77777777" w:rsidR="00A06947" w:rsidRDefault="00000000">
      <w:pPr>
        <w:spacing w:line="360" w:lineRule="auto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江苏海晨物流股份有限公司</w:t>
      </w:r>
    </w:p>
    <w:p w14:paraId="3C014583" w14:textId="77777777" w:rsidR="00A06947" w:rsidRDefault="00000000">
      <w:pPr>
        <w:spacing w:line="360" w:lineRule="auto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2024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日</w:t>
      </w:r>
    </w:p>
    <w:sectPr w:rsidR="00A06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mNTU3MDkzOGEyNDgyODAxMWExZTE2ZWE4MWU0NmUifQ=="/>
  </w:docVars>
  <w:rsids>
    <w:rsidRoot w:val="00886CF2"/>
    <w:rsid w:val="0004541E"/>
    <w:rsid w:val="00070F62"/>
    <w:rsid w:val="00080BDC"/>
    <w:rsid w:val="000839EE"/>
    <w:rsid w:val="000B0F0C"/>
    <w:rsid w:val="00107DBB"/>
    <w:rsid w:val="00135715"/>
    <w:rsid w:val="00157BA3"/>
    <w:rsid w:val="00165407"/>
    <w:rsid w:val="001824B8"/>
    <w:rsid w:val="001A422C"/>
    <w:rsid w:val="001E09CC"/>
    <w:rsid w:val="001E4F24"/>
    <w:rsid w:val="002146AC"/>
    <w:rsid w:val="00217A08"/>
    <w:rsid w:val="00272333"/>
    <w:rsid w:val="00284918"/>
    <w:rsid w:val="0029046D"/>
    <w:rsid w:val="00290801"/>
    <w:rsid w:val="002B0E6F"/>
    <w:rsid w:val="002F16AA"/>
    <w:rsid w:val="0036390F"/>
    <w:rsid w:val="003A3855"/>
    <w:rsid w:val="003C1099"/>
    <w:rsid w:val="00462F44"/>
    <w:rsid w:val="004B6238"/>
    <w:rsid w:val="004D2E58"/>
    <w:rsid w:val="005211E7"/>
    <w:rsid w:val="00535A41"/>
    <w:rsid w:val="00550EF0"/>
    <w:rsid w:val="0059123E"/>
    <w:rsid w:val="0059440B"/>
    <w:rsid w:val="005E4AC4"/>
    <w:rsid w:val="00670689"/>
    <w:rsid w:val="006F6E4D"/>
    <w:rsid w:val="00711E1D"/>
    <w:rsid w:val="00733CCA"/>
    <w:rsid w:val="00762EE5"/>
    <w:rsid w:val="007A3267"/>
    <w:rsid w:val="007D2713"/>
    <w:rsid w:val="007D312D"/>
    <w:rsid w:val="007D32DE"/>
    <w:rsid w:val="0083759B"/>
    <w:rsid w:val="00846502"/>
    <w:rsid w:val="008666F6"/>
    <w:rsid w:val="00874D7B"/>
    <w:rsid w:val="00886CF2"/>
    <w:rsid w:val="008944A5"/>
    <w:rsid w:val="008C0919"/>
    <w:rsid w:val="008C6A95"/>
    <w:rsid w:val="008F3480"/>
    <w:rsid w:val="00902C6E"/>
    <w:rsid w:val="00984FD6"/>
    <w:rsid w:val="009943C3"/>
    <w:rsid w:val="009A6227"/>
    <w:rsid w:val="009E6461"/>
    <w:rsid w:val="00A06947"/>
    <w:rsid w:val="00A12DAC"/>
    <w:rsid w:val="00A43286"/>
    <w:rsid w:val="00A57331"/>
    <w:rsid w:val="00A73067"/>
    <w:rsid w:val="00A83737"/>
    <w:rsid w:val="00A94757"/>
    <w:rsid w:val="00A968DB"/>
    <w:rsid w:val="00AA597C"/>
    <w:rsid w:val="00AB1380"/>
    <w:rsid w:val="00AC550C"/>
    <w:rsid w:val="00AE6755"/>
    <w:rsid w:val="00B11900"/>
    <w:rsid w:val="00B178AB"/>
    <w:rsid w:val="00B205CF"/>
    <w:rsid w:val="00B475D4"/>
    <w:rsid w:val="00BD58DA"/>
    <w:rsid w:val="00BF56CC"/>
    <w:rsid w:val="00C05236"/>
    <w:rsid w:val="00C27B18"/>
    <w:rsid w:val="00C45147"/>
    <w:rsid w:val="00D377D6"/>
    <w:rsid w:val="00D45DDA"/>
    <w:rsid w:val="00D46DB0"/>
    <w:rsid w:val="00D53061"/>
    <w:rsid w:val="00D57455"/>
    <w:rsid w:val="00D9040B"/>
    <w:rsid w:val="00DA4278"/>
    <w:rsid w:val="00E2187A"/>
    <w:rsid w:val="00E251B8"/>
    <w:rsid w:val="00E731DD"/>
    <w:rsid w:val="00EB051B"/>
    <w:rsid w:val="00EB6E72"/>
    <w:rsid w:val="00ED03C8"/>
    <w:rsid w:val="00ED3147"/>
    <w:rsid w:val="00EE40F3"/>
    <w:rsid w:val="00F00DFD"/>
    <w:rsid w:val="00F11F73"/>
    <w:rsid w:val="00F26DF1"/>
    <w:rsid w:val="00F46608"/>
    <w:rsid w:val="00F4724E"/>
    <w:rsid w:val="00F66969"/>
    <w:rsid w:val="00FA1378"/>
    <w:rsid w:val="00FA5BFE"/>
    <w:rsid w:val="00FC1B21"/>
    <w:rsid w:val="0172701F"/>
    <w:rsid w:val="01A403EF"/>
    <w:rsid w:val="026F2196"/>
    <w:rsid w:val="029D759B"/>
    <w:rsid w:val="03CB3826"/>
    <w:rsid w:val="042D7C0E"/>
    <w:rsid w:val="04E85283"/>
    <w:rsid w:val="058C4427"/>
    <w:rsid w:val="05A35BC3"/>
    <w:rsid w:val="06255BC2"/>
    <w:rsid w:val="06304C93"/>
    <w:rsid w:val="066A7A79"/>
    <w:rsid w:val="0676641E"/>
    <w:rsid w:val="079E2ECE"/>
    <w:rsid w:val="081B3BB4"/>
    <w:rsid w:val="091D2699"/>
    <w:rsid w:val="091D6E86"/>
    <w:rsid w:val="0B0F299D"/>
    <w:rsid w:val="0BDC592E"/>
    <w:rsid w:val="0CE67563"/>
    <w:rsid w:val="0D6F0E30"/>
    <w:rsid w:val="0EEF6545"/>
    <w:rsid w:val="0F0071CD"/>
    <w:rsid w:val="11C113B4"/>
    <w:rsid w:val="11F272A1"/>
    <w:rsid w:val="12B66520"/>
    <w:rsid w:val="14301CC2"/>
    <w:rsid w:val="14E15CB3"/>
    <w:rsid w:val="14FF3889"/>
    <w:rsid w:val="15B66837"/>
    <w:rsid w:val="16CE5A43"/>
    <w:rsid w:val="17E51656"/>
    <w:rsid w:val="1A4C1518"/>
    <w:rsid w:val="1B950C9D"/>
    <w:rsid w:val="1BD41838"/>
    <w:rsid w:val="1BDB2B53"/>
    <w:rsid w:val="1C47643B"/>
    <w:rsid w:val="20BF22D1"/>
    <w:rsid w:val="21EF0187"/>
    <w:rsid w:val="236B4886"/>
    <w:rsid w:val="23894487"/>
    <w:rsid w:val="24854AAB"/>
    <w:rsid w:val="25633801"/>
    <w:rsid w:val="256D2964"/>
    <w:rsid w:val="264458BD"/>
    <w:rsid w:val="27B272D3"/>
    <w:rsid w:val="285757B6"/>
    <w:rsid w:val="28A20C44"/>
    <w:rsid w:val="29262A2B"/>
    <w:rsid w:val="29DB64C9"/>
    <w:rsid w:val="2A0B0AA8"/>
    <w:rsid w:val="2A2946F1"/>
    <w:rsid w:val="2A7F7A1B"/>
    <w:rsid w:val="2C5460E7"/>
    <w:rsid w:val="2EEB32B1"/>
    <w:rsid w:val="2F183292"/>
    <w:rsid w:val="2F4E4940"/>
    <w:rsid w:val="302145DD"/>
    <w:rsid w:val="30753757"/>
    <w:rsid w:val="31046251"/>
    <w:rsid w:val="3299467E"/>
    <w:rsid w:val="33164948"/>
    <w:rsid w:val="34307AFF"/>
    <w:rsid w:val="34422C12"/>
    <w:rsid w:val="35633E8E"/>
    <w:rsid w:val="358063EB"/>
    <w:rsid w:val="360276AA"/>
    <w:rsid w:val="387C73A9"/>
    <w:rsid w:val="388C54A5"/>
    <w:rsid w:val="38E8138C"/>
    <w:rsid w:val="3A3D57F6"/>
    <w:rsid w:val="3B003663"/>
    <w:rsid w:val="3CB00A58"/>
    <w:rsid w:val="3D135D40"/>
    <w:rsid w:val="3D2C0417"/>
    <w:rsid w:val="3E8219F9"/>
    <w:rsid w:val="3E9A727C"/>
    <w:rsid w:val="3F272998"/>
    <w:rsid w:val="3F5D52A2"/>
    <w:rsid w:val="3F721D0E"/>
    <w:rsid w:val="3F85098C"/>
    <w:rsid w:val="4029084C"/>
    <w:rsid w:val="41A970CC"/>
    <w:rsid w:val="41E05161"/>
    <w:rsid w:val="42CE276A"/>
    <w:rsid w:val="43D44E88"/>
    <w:rsid w:val="440B1130"/>
    <w:rsid w:val="4459662C"/>
    <w:rsid w:val="44623562"/>
    <w:rsid w:val="44EC46E6"/>
    <w:rsid w:val="46CB2A83"/>
    <w:rsid w:val="46E110F4"/>
    <w:rsid w:val="472665DE"/>
    <w:rsid w:val="47723E06"/>
    <w:rsid w:val="47A20FC3"/>
    <w:rsid w:val="47BD3217"/>
    <w:rsid w:val="47DF3F80"/>
    <w:rsid w:val="48191077"/>
    <w:rsid w:val="49E035A5"/>
    <w:rsid w:val="4A325DB4"/>
    <w:rsid w:val="4A3B089D"/>
    <w:rsid w:val="4A694EDB"/>
    <w:rsid w:val="4AA41712"/>
    <w:rsid w:val="4AE76D42"/>
    <w:rsid w:val="4B06733D"/>
    <w:rsid w:val="4B6C5A20"/>
    <w:rsid w:val="4B7B1CE9"/>
    <w:rsid w:val="4C4B0D80"/>
    <w:rsid w:val="4DAC73EF"/>
    <w:rsid w:val="4E0062C6"/>
    <w:rsid w:val="4E524648"/>
    <w:rsid w:val="4FC100EC"/>
    <w:rsid w:val="503B092C"/>
    <w:rsid w:val="50707007"/>
    <w:rsid w:val="51017B43"/>
    <w:rsid w:val="510732E0"/>
    <w:rsid w:val="5151508A"/>
    <w:rsid w:val="51E23F34"/>
    <w:rsid w:val="52AB07CA"/>
    <w:rsid w:val="53247060"/>
    <w:rsid w:val="53CE7D56"/>
    <w:rsid w:val="544113E6"/>
    <w:rsid w:val="55254864"/>
    <w:rsid w:val="552644A1"/>
    <w:rsid w:val="55ED66BF"/>
    <w:rsid w:val="575F582F"/>
    <w:rsid w:val="57B72D29"/>
    <w:rsid w:val="57C55E8A"/>
    <w:rsid w:val="58193434"/>
    <w:rsid w:val="59933EDD"/>
    <w:rsid w:val="5A251FDA"/>
    <w:rsid w:val="5A2704FB"/>
    <w:rsid w:val="5B1028D2"/>
    <w:rsid w:val="5B1215E0"/>
    <w:rsid w:val="5BD2265D"/>
    <w:rsid w:val="5C4B483C"/>
    <w:rsid w:val="5C626C2B"/>
    <w:rsid w:val="5D2E44D2"/>
    <w:rsid w:val="5D4F5FD3"/>
    <w:rsid w:val="5DF748C4"/>
    <w:rsid w:val="5E280F21"/>
    <w:rsid w:val="5EB420C5"/>
    <w:rsid w:val="5EE664D7"/>
    <w:rsid w:val="603B318E"/>
    <w:rsid w:val="605E66E5"/>
    <w:rsid w:val="622D5E3B"/>
    <w:rsid w:val="63671F12"/>
    <w:rsid w:val="655C67CD"/>
    <w:rsid w:val="658B441F"/>
    <w:rsid w:val="666B4307"/>
    <w:rsid w:val="668F5FE1"/>
    <w:rsid w:val="66B33F39"/>
    <w:rsid w:val="68B36DCD"/>
    <w:rsid w:val="68F67AB2"/>
    <w:rsid w:val="69D5623B"/>
    <w:rsid w:val="69FE675E"/>
    <w:rsid w:val="6A6F3423"/>
    <w:rsid w:val="6AB32BCA"/>
    <w:rsid w:val="6AD90500"/>
    <w:rsid w:val="6C7517D5"/>
    <w:rsid w:val="6D523551"/>
    <w:rsid w:val="6D634161"/>
    <w:rsid w:val="6D646743"/>
    <w:rsid w:val="6E1337A1"/>
    <w:rsid w:val="6E8B3532"/>
    <w:rsid w:val="6F6D56C5"/>
    <w:rsid w:val="6FC52A74"/>
    <w:rsid w:val="6FCB7A77"/>
    <w:rsid w:val="70E175DD"/>
    <w:rsid w:val="719077F4"/>
    <w:rsid w:val="733B2CBF"/>
    <w:rsid w:val="74AB02E2"/>
    <w:rsid w:val="757545F4"/>
    <w:rsid w:val="75F6664F"/>
    <w:rsid w:val="77481B9A"/>
    <w:rsid w:val="775D7A36"/>
    <w:rsid w:val="777B1BEE"/>
    <w:rsid w:val="78FF508B"/>
    <w:rsid w:val="793A6280"/>
    <w:rsid w:val="79632FA4"/>
    <w:rsid w:val="7AAB14C9"/>
    <w:rsid w:val="7C1726FA"/>
    <w:rsid w:val="7C3945CD"/>
    <w:rsid w:val="7D60357C"/>
    <w:rsid w:val="7F076C05"/>
    <w:rsid w:val="7FAC50B6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CFB5"/>
  <w15:docId w15:val="{53C50E29-A887-479B-BE07-9F7E8560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标题 字符"/>
    <w:basedOn w:val="a0"/>
    <w:link w:val="a7"/>
    <w:autoRedefine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autoRedefine/>
    <w:qFormat/>
    <w:rPr>
      <w:rFonts w:ascii="Times New Roman" w:hAnsi="Times New Roman" w:cs="Times New Roman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wuxiaowei</dc:creator>
  <cp:lastModifiedBy>leanne</cp:lastModifiedBy>
  <cp:revision>61</cp:revision>
  <dcterms:created xsi:type="dcterms:W3CDTF">2021-02-22T06:42:00Z</dcterms:created>
  <dcterms:modified xsi:type="dcterms:W3CDTF">2024-04-19T09:13:00Z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73BE9E679B1541AA9C032114AA3C52F0_12</vt:lpwstr>
  </property>
</Properties>
</file>